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85E" w:rsidRPr="006B6503" w:rsidRDefault="001D585E" w:rsidP="001D585E">
      <w:pPr>
        <w:widowControl w:val="0"/>
        <w:spacing w:before="100" w:beforeAutospacing="1" w:after="100" w:afterAutospacing="1" w:line="360" w:lineRule="auto"/>
        <w:ind w:right="-164"/>
        <w:jc w:val="both"/>
        <w:rPr>
          <w:rFonts w:ascii="Palatino Linotype" w:eastAsia="Calibri" w:hAnsi="Palatino Linotype" w:cs="Arial"/>
          <w:b/>
          <w:color w:val="000000"/>
        </w:rPr>
      </w:pPr>
      <w:r w:rsidRPr="006B6503">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90461">
        <w:rPr>
          <w:rFonts w:ascii="Palatino Linotype" w:hAnsi="Palatino Linotype" w:cs="Arial"/>
          <w:b/>
        </w:rPr>
        <w:t>SEGUNDA</w:t>
      </w:r>
      <w:r w:rsidRPr="006B6503">
        <w:rPr>
          <w:rFonts w:ascii="Palatino Linotype" w:hAnsi="Palatino Linotype" w:cs="Arial"/>
          <w:b/>
        </w:rPr>
        <w:t xml:space="preserve"> SESIÓN ORDINARIA DE </w:t>
      </w:r>
      <w:r w:rsidR="00E90461">
        <w:rPr>
          <w:rFonts w:ascii="Palatino Linotype" w:hAnsi="Palatino Linotype" w:cs="Arial"/>
          <w:b/>
        </w:rPr>
        <w:t>DIECISÉIS DE ENERO DE DOS MIL DIECINUEVE</w:t>
      </w:r>
      <w:r w:rsidRPr="006B6503">
        <w:rPr>
          <w:rFonts w:ascii="Palatino Linotype" w:hAnsi="Palatino Linotype" w:cs="Arial"/>
          <w:b/>
        </w:rPr>
        <w:t>,</w:t>
      </w:r>
      <w:r w:rsidR="00E90461">
        <w:rPr>
          <w:rFonts w:ascii="Palatino Linotype" w:hAnsi="Palatino Linotype" w:cs="Arial"/>
          <w:b/>
        </w:rPr>
        <w:t xml:space="preserve"> EN EL RECURSO DE REVISIÓN 04081</w:t>
      </w:r>
      <w:r w:rsidRPr="006B6503">
        <w:rPr>
          <w:rFonts w:ascii="Palatino Linotype" w:hAnsi="Palatino Linotype" w:cs="Arial"/>
          <w:b/>
        </w:rPr>
        <w:t>/INFOEM/IP/RR/2018</w:t>
      </w:r>
      <w:r w:rsidRPr="006B6503">
        <w:rPr>
          <w:rFonts w:ascii="Palatino Linotype" w:eastAsia="Calibri" w:hAnsi="Palatino Linotype" w:cs="Arial"/>
          <w:b/>
          <w:color w:val="000000"/>
        </w:rPr>
        <w:t>.</w:t>
      </w:r>
    </w:p>
    <w:p w:rsidR="001D585E" w:rsidRPr="006B6503" w:rsidRDefault="001D585E" w:rsidP="001D585E">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6B6503">
        <w:rPr>
          <w:rFonts w:ascii="Palatino Linotype" w:hAnsi="Palatino Linotype" w:cs="Arial"/>
          <w:b/>
          <w:lang w:val="es-ES_tradnl"/>
        </w:rPr>
        <w:t xml:space="preserve"> </w:t>
      </w:r>
      <w:r w:rsidRPr="006B6503">
        <w:rPr>
          <w:rFonts w:ascii="Palatino Linotype" w:hAnsi="Palatino Linotype" w:cs="Arial"/>
          <w:b/>
        </w:rPr>
        <w:t xml:space="preserve">EVA ABAID YAPUR </w:t>
      </w:r>
      <w:r w:rsidRPr="006B6503">
        <w:rPr>
          <w:rFonts w:ascii="Palatino Linotype" w:hAnsi="Palatino Linotype" w:cs="Arial"/>
        </w:rPr>
        <w:t xml:space="preserve">emite </w:t>
      </w:r>
      <w:r w:rsidRPr="006B6503">
        <w:rPr>
          <w:rFonts w:ascii="Palatino Linotype" w:hAnsi="Palatino Linotype" w:cs="Arial"/>
          <w:b/>
        </w:rPr>
        <w:t xml:space="preserve">VOTO PARTICULAR </w:t>
      </w:r>
      <w:r w:rsidRPr="006B6503">
        <w:rPr>
          <w:rFonts w:ascii="Palatino Linotype" w:hAnsi="Palatino Linotype" w:cs="Arial"/>
        </w:rPr>
        <w:t xml:space="preserve">respecto de la resolución dictada en el recurso de revisión </w:t>
      </w:r>
      <w:r w:rsidR="00E90461">
        <w:rPr>
          <w:rFonts w:ascii="Palatino Linotype" w:eastAsia="Calibri" w:hAnsi="Palatino Linotype" w:cs="Arial"/>
          <w:b/>
          <w:color w:val="000000"/>
        </w:rPr>
        <w:t>04081</w:t>
      </w:r>
      <w:r w:rsidRPr="006B6503">
        <w:rPr>
          <w:rFonts w:ascii="Palatino Linotype" w:eastAsia="Calibri" w:hAnsi="Palatino Linotype" w:cs="Arial"/>
          <w:b/>
          <w:color w:val="000000"/>
        </w:rPr>
        <w:t>/INFOEM/IP/RR/2018</w:t>
      </w:r>
      <w:r w:rsidRPr="006B6503">
        <w:rPr>
          <w:rFonts w:ascii="Palatino Linotype" w:hAnsi="Palatino Linotype" w:cs="Arial"/>
        </w:rPr>
        <w:t xml:space="preserve">, pronunciada por el Pleno de este Instituto ante el proyecto presentado por el Comisionado </w:t>
      </w:r>
      <w:r w:rsidRPr="006B6503">
        <w:rPr>
          <w:rFonts w:ascii="Palatino Linotype" w:hAnsi="Palatino Linotype" w:cs="Arial"/>
          <w:b/>
        </w:rPr>
        <w:t>LUIS GUSTAVO PARRA NORIEGA</w:t>
      </w:r>
      <w:r w:rsidRPr="006B6503">
        <w:rPr>
          <w:rFonts w:ascii="Palatino Linotype" w:hAnsi="Palatino Linotype" w:cs="Arial"/>
        </w:rPr>
        <w:t>, que es del tenor siguiente.</w:t>
      </w:r>
    </w:p>
    <w:p w:rsidR="001D585E" w:rsidRDefault="001D585E" w:rsidP="001D585E">
      <w:pPr>
        <w:spacing w:before="100" w:beforeAutospacing="1" w:after="100" w:afterAutospacing="1" w:line="360" w:lineRule="auto"/>
        <w:jc w:val="both"/>
        <w:rPr>
          <w:rFonts w:ascii="Palatino Linotype" w:hAnsi="Palatino Linotype"/>
        </w:rPr>
      </w:pPr>
      <w:r w:rsidRPr="006B6503">
        <w:rPr>
          <w:rFonts w:ascii="Palatino Linotype" w:hAnsi="Palatino Linotype"/>
        </w:rPr>
        <w:t xml:space="preserve">Al respecto, tal y como quedó debidamente asentado en la resolución materia del presente voto, el particular requirió del </w:t>
      </w:r>
      <w:r w:rsidR="00E90461" w:rsidRPr="00766885">
        <w:rPr>
          <w:rFonts w:ascii="Palatino Linotype" w:eastAsia="Calibri" w:hAnsi="Palatino Linotype" w:cs="Tahoma"/>
          <w:bCs/>
          <w:lang w:eastAsia="en-US"/>
        </w:rPr>
        <w:t>Ayuntamiento de Naucalpan de Juárez</w:t>
      </w:r>
      <w:r w:rsidRPr="006B6503">
        <w:rPr>
          <w:rFonts w:ascii="Palatino Linotype" w:hAnsi="Palatino Linotype" w:cs="Tahoma"/>
          <w:b/>
          <w:bCs/>
          <w:color w:val="0D0D0D" w:themeColor="text1" w:themeTint="F2"/>
        </w:rPr>
        <w:t>,</w:t>
      </w:r>
      <w:r w:rsidRPr="006B6503">
        <w:rPr>
          <w:rFonts w:ascii="Palatino Linotype" w:hAnsi="Palatino Linotype"/>
        </w:rPr>
        <w:t xml:space="preserve"> en lo sucesivo </w:t>
      </w:r>
      <w:r w:rsidRPr="006B6503">
        <w:rPr>
          <w:rFonts w:ascii="Palatino Linotype" w:hAnsi="Palatino Linotype"/>
          <w:b/>
        </w:rPr>
        <w:t xml:space="preserve">EL SUJETO OBLIGADO, </w:t>
      </w:r>
      <w:r w:rsidR="00E90461">
        <w:rPr>
          <w:rFonts w:ascii="Palatino Linotype" w:hAnsi="Palatino Linotype"/>
        </w:rPr>
        <w:t>lo siguiente</w:t>
      </w:r>
      <w:r w:rsidRPr="006B6503">
        <w:rPr>
          <w:rFonts w:ascii="Palatino Linotype" w:hAnsi="Palatino Linotype"/>
        </w:rPr>
        <w:t>.</w:t>
      </w:r>
    </w:p>
    <w:p w:rsidR="00244A73" w:rsidRDefault="00244A73" w:rsidP="00244A73">
      <w:pPr>
        <w:ind w:left="851" w:right="757"/>
        <w:jc w:val="both"/>
        <w:rPr>
          <w:rFonts w:ascii="Palatino Linotype" w:eastAsia="Calibri" w:hAnsi="Palatino Linotype" w:cs="Tahoma"/>
          <w:bCs/>
          <w:i/>
          <w:sz w:val="22"/>
          <w:szCs w:val="22"/>
          <w:lang w:eastAsia="en-US"/>
        </w:rPr>
      </w:pPr>
      <w:r w:rsidRPr="00244A73">
        <w:rPr>
          <w:rFonts w:ascii="Palatino Linotype" w:eastAsia="Calibri" w:hAnsi="Palatino Linotype" w:cs="Tahoma"/>
          <w:bCs/>
          <w:i/>
          <w:sz w:val="22"/>
          <w:szCs w:val="22"/>
          <w:lang w:eastAsia="en-US"/>
        </w:rPr>
        <w:t xml:space="preserve">“Deseo saber: 1.- ¿Cuánto paga el municipio de Naucalpan de Juárez de su presupuesto por concepto de honorarios? 2.- Los nombres de los prestadores de servicios, los servicios contratados, el monto de los honorarios y el periodo de contratación, ya que, en términos del artículo 92, fracción XI, de la Ley de Transparencia y Acceso a la Información Pública del Estado de México y Municipios, es un deber de los sujetos obligados poner a disposición del público de manera permanente y actualizada de forma sencilla, precisa y entendible, en sus respectivos </w:t>
      </w:r>
      <w:r w:rsidRPr="00244A73">
        <w:rPr>
          <w:rFonts w:ascii="Palatino Linotype" w:eastAsia="Calibri" w:hAnsi="Palatino Linotype" w:cs="Tahoma"/>
          <w:bCs/>
          <w:i/>
          <w:sz w:val="22"/>
          <w:szCs w:val="22"/>
          <w:lang w:eastAsia="en-US"/>
        </w:rPr>
        <w:lastRenderedPageBreak/>
        <w:t>medios electrónicos, la información de las contrataciones de servicios profesionales por honorarios.” (Sic.)</w:t>
      </w:r>
    </w:p>
    <w:p w:rsidR="00244A73" w:rsidRPr="00244A73" w:rsidRDefault="00244A73" w:rsidP="00244A73">
      <w:pPr>
        <w:ind w:left="851" w:right="757"/>
        <w:jc w:val="both"/>
        <w:rPr>
          <w:rFonts w:ascii="Palatino Linotype" w:eastAsia="Calibri" w:hAnsi="Palatino Linotype" w:cs="Tahoma"/>
          <w:bCs/>
          <w:i/>
          <w:sz w:val="22"/>
          <w:szCs w:val="22"/>
          <w:lang w:eastAsia="en-US"/>
        </w:rPr>
      </w:pPr>
    </w:p>
    <w:p w:rsidR="001D585E" w:rsidRPr="006B6503" w:rsidRDefault="001D585E" w:rsidP="001D585E">
      <w:pPr>
        <w:spacing w:before="100" w:beforeAutospacing="1" w:after="100" w:afterAutospacing="1" w:line="360" w:lineRule="auto"/>
        <w:ind w:right="49"/>
        <w:jc w:val="both"/>
        <w:rPr>
          <w:rFonts w:ascii="Palatino Linotype" w:hAnsi="Palatino Linotype" w:cs="Arial"/>
        </w:rPr>
      </w:pPr>
      <w:r w:rsidRPr="006B6503">
        <w:rPr>
          <w:rFonts w:ascii="Palatino Linotype" w:hAnsi="Palatino Linotype" w:cs="Arial"/>
        </w:rPr>
        <w:t xml:space="preserve">Del expediente electrónico del Sistema de Acceso a la Información Mexiquense, </w:t>
      </w:r>
      <w:r w:rsidRPr="006B6503">
        <w:rPr>
          <w:rFonts w:ascii="Palatino Linotype" w:hAnsi="Palatino Linotype" w:cs="Arial"/>
          <w:b/>
        </w:rPr>
        <w:t xml:space="preserve">SAIMEX, </w:t>
      </w:r>
      <w:r w:rsidRPr="006B6503">
        <w:rPr>
          <w:rFonts w:ascii="Palatino Linotype" w:hAnsi="Palatino Linotype" w:cs="Arial"/>
        </w:rPr>
        <w:t xml:space="preserve">se advierte que </w:t>
      </w:r>
      <w:r w:rsidRPr="006B6503">
        <w:rPr>
          <w:rFonts w:ascii="Palatino Linotype" w:hAnsi="Palatino Linotype" w:cs="Arial"/>
          <w:b/>
        </w:rPr>
        <w:t>EL SUJETO OBLIGADO</w:t>
      </w:r>
      <w:r w:rsidRPr="006B6503">
        <w:rPr>
          <w:rFonts w:ascii="Palatino Linotype" w:hAnsi="Palatino Linotype" w:cs="Arial"/>
        </w:rPr>
        <w:t xml:space="preserve"> </w:t>
      </w:r>
      <w:r w:rsidR="00244A73">
        <w:rPr>
          <w:rFonts w:ascii="Palatino Linotype" w:hAnsi="Palatino Linotype" w:cs="Arial"/>
        </w:rPr>
        <w:t xml:space="preserve">manifestó que </w:t>
      </w:r>
      <w:r w:rsidR="00244A73">
        <w:rPr>
          <w:rFonts w:ascii="Palatino Linotype" w:eastAsia="Calibri" w:hAnsi="Palatino Linotype" w:cs="Tahoma"/>
          <w:bCs/>
          <w:lang w:eastAsia="en-US"/>
        </w:rPr>
        <w:t>no tenía</w:t>
      </w:r>
      <w:r w:rsidR="00244A73" w:rsidRPr="00D610DB">
        <w:rPr>
          <w:rFonts w:ascii="Palatino Linotype" w:eastAsia="Calibri" w:hAnsi="Palatino Linotype" w:cs="Tahoma"/>
          <w:bCs/>
          <w:lang w:eastAsia="en-US"/>
        </w:rPr>
        <w:t xml:space="preserve"> registros de contrataciones de prestación de servicios por honorarios por el periodo comprendido del 30 de agosto de 2017</w:t>
      </w:r>
      <w:r w:rsidR="00D96DE7">
        <w:rPr>
          <w:rFonts w:ascii="Palatino Linotype" w:eastAsia="Calibri" w:hAnsi="Palatino Linotype" w:cs="Tahoma"/>
          <w:bCs/>
          <w:lang w:eastAsia="en-US"/>
        </w:rPr>
        <w:t xml:space="preserve"> al 30 de agosto de 2018</w:t>
      </w:r>
      <w:r w:rsidR="00766885">
        <w:rPr>
          <w:rFonts w:ascii="Palatino Linotype" w:eastAsia="Calibri" w:hAnsi="Palatino Linotype" w:cs="Tahoma"/>
          <w:bCs/>
          <w:lang w:eastAsia="en-US"/>
        </w:rPr>
        <w:t>.</w:t>
      </w:r>
    </w:p>
    <w:p w:rsidR="001D585E" w:rsidRDefault="001D585E" w:rsidP="001D585E">
      <w:pPr>
        <w:spacing w:before="100" w:beforeAutospacing="1" w:after="100" w:afterAutospacing="1" w:line="360" w:lineRule="auto"/>
        <w:jc w:val="both"/>
        <w:rPr>
          <w:rFonts w:ascii="Palatino Linotype" w:hAnsi="Palatino Linotype" w:cs="Arial"/>
        </w:rPr>
      </w:pPr>
      <w:r w:rsidRPr="006B6503">
        <w:rPr>
          <w:rFonts w:ascii="Palatino Linotype" w:hAnsi="Palatino Linotype"/>
          <w:color w:val="000000"/>
          <w:lang w:val="es-MX" w:eastAsia="es-MX"/>
        </w:rPr>
        <w:t>Inconforme con la falta de</w:t>
      </w:r>
      <w:r w:rsidR="00D96DE7">
        <w:rPr>
          <w:rFonts w:ascii="Palatino Linotype" w:hAnsi="Palatino Linotype"/>
          <w:color w:val="000000"/>
          <w:lang w:val="es-MX" w:eastAsia="es-MX"/>
        </w:rPr>
        <w:t xml:space="preserve"> atención a la solicitud</w:t>
      </w:r>
      <w:r w:rsidRPr="006B6503">
        <w:rPr>
          <w:rFonts w:ascii="Palatino Linotype" w:hAnsi="Palatino Linotype"/>
          <w:color w:val="000000"/>
          <w:lang w:val="es-MX" w:eastAsia="es-MX"/>
        </w:rPr>
        <w:t xml:space="preserve">, </w:t>
      </w:r>
      <w:r w:rsidRPr="006B6503">
        <w:rPr>
          <w:rFonts w:ascii="Palatino Linotype" w:hAnsi="Palatino Linotype"/>
          <w:b/>
          <w:color w:val="000000"/>
          <w:lang w:val="es-MX" w:eastAsia="es-MX"/>
        </w:rPr>
        <w:t>EL RECURRENTE</w:t>
      </w:r>
      <w:r w:rsidRPr="006B6503">
        <w:rPr>
          <w:rFonts w:ascii="Palatino Linotype" w:hAnsi="Palatino Linotype"/>
          <w:color w:val="000000"/>
          <w:lang w:val="es-MX" w:eastAsia="es-MX"/>
        </w:rPr>
        <w:t xml:space="preserve"> </w:t>
      </w:r>
      <w:r w:rsidRPr="006B6503">
        <w:rPr>
          <w:rFonts w:ascii="Palatino Linotype" w:hAnsi="Palatino Linotype" w:cs="Arial"/>
        </w:rPr>
        <w:t>interpuso el recurso de revisión de mérito.</w:t>
      </w:r>
    </w:p>
    <w:p w:rsidR="006E3381" w:rsidRPr="006E3381" w:rsidRDefault="006E3381" w:rsidP="001D585E">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 lo anterior, se desprende que </w:t>
      </w:r>
      <w:r w:rsidRPr="006E3381">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rindió su Informe Justificado</w:t>
      </w:r>
      <w:r w:rsidR="00D96DE7">
        <w:rPr>
          <w:rFonts w:ascii="Palatino Linotype" w:hAnsi="Palatino Linotype" w:cs="Arial"/>
        </w:rPr>
        <w:t>,</w:t>
      </w:r>
      <w:r>
        <w:rPr>
          <w:rFonts w:ascii="Palatino Linotype" w:hAnsi="Palatino Linotype" w:cs="Arial"/>
        </w:rPr>
        <w:t xml:space="preserve"> en el cual informa sobre tres contratos por honorarios con los que contaba dentro de sus archivos.</w:t>
      </w:r>
    </w:p>
    <w:p w:rsidR="001D585E" w:rsidRPr="006B6503" w:rsidRDefault="001D585E" w:rsidP="001D585E">
      <w:pPr>
        <w:spacing w:before="100" w:beforeAutospacing="1" w:after="100" w:afterAutospacing="1" w:line="360" w:lineRule="auto"/>
        <w:ind w:right="49"/>
        <w:jc w:val="both"/>
        <w:rPr>
          <w:rFonts w:ascii="Palatino Linotype" w:hAnsi="Palatino Linotype" w:cs="Arial"/>
        </w:rPr>
      </w:pPr>
      <w:r w:rsidRPr="006B6503">
        <w:rPr>
          <w:rFonts w:ascii="Palatino Linotype" w:hAnsi="Palatino Linotype" w:cs="Arial"/>
        </w:rPr>
        <w:t>Así, del estudio d</w:t>
      </w:r>
      <w:r w:rsidRPr="006B6503">
        <w:rPr>
          <w:rFonts w:ascii="Palatino Linotype" w:hAnsi="Palatino Linotype"/>
        </w:rPr>
        <w:t>el expediente electrónico</w:t>
      </w:r>
      <w:r w:rsidRPr="006B6503">
        <w:rPr>
          <w:rFonts w:ascii="Palatino Linotype" w:hAnsi="Palatino Linotype" w:cs="Arial"/>
        </w:rPr>
        <w:t xml:space="preserve"> la Ponencia </w:t>
      </w:r>
      <w:proofErr w:type="spellStart"/>
      <w:r w:rsidRPr="006B6503">
        <w:rPr>
          <w:rFonts w:ascii="Palatino Linotype" w:hAnsi="Palatino Linotype" w:cs="Arial"/>
        </w:rPr>
        <w:t>Resolutora</w:t>
      </w:r>
      <w:proofErr w:type="spellEnd"/>
      <w:r w:rsidRPr="006B6503">
        <w:rPr>
          <w:rFonts w:ascii="Palatino Linotype" w:hAnsi="Palatino Linotype" w:cs="Arial"/>
        </w:rPr>
        <w:t xml:space="preserve"> determinó </w:t>
      </w:r>
      <w:r w:rsidR="00244A73">
        <w:rPr>
          <w:rFonts w:ascii="Palatino Linotype" w:hAnsi="Palatino Linotype" w:cs="Arial"/>
          <w:b/>
        </w:rPr>
        <w:t xml:space="preserve">REVOCAR </w:t>
      </w:r>
      <w:r w:rsidR="00244A73">
        <w:rPr>
          <w:rFonts w:ascii="Palatino Linotype" w:hAnsi="Palatino Linotype" w:cs="Arial"/>
        </w:rPr>
        <w:t xml:space="preserve">la respuesta del </w:t>
      </w:r>
      <w:r w:rsidR="00244A73" w:rsidRPr="00244A73">
        <w:rPr>
          <w:rFonts w:ascii="Palatino Linotype" w:hAnsi="Palatino Linotype" w:cs="Arial"/>
          <w:b/>
        </w:rPr>
        <w:t>SUJETO OBLIGADO</w:t>
      </w:r>
      <w:r w:rsidR="00244A73">
        <w:rPr>
          <w:rFonts w:ascii="Palatino Linotype" w:hAnsi="Palatino Linotype" w:cs="Arial"/>
          <w:b/>
        </w:rPr>
        <w:t xml:space="preserve"> </w:t>
      </w:r>
      <w:r w:rsidR="00244A73">
        <w:rPr>
          <w:rFonts w:ascii="Palatino Linotype" w:hAnsi="Palatino Linotype" w:cs="Arial"/>
        </w:rPr>
        <w:t>y ordenar</w:t>
      </w:r>
      <w:r w:rsidRPr="006B6503">
        <w:rPr>
          <w:rFonts w:ascii="Palatino Linotype" w:hAnsi="Palatino Linotype" w:cs="Arial"/>
          <w:b/>
        </w:rPr>
        <w:t xml:space="preserve"> </w:t>
      </w:r>
      <w:r w:rsidR="000C7356" w:rsidRPr="006B6503">
        <w:rPr>
          <w:rFonts w:ascii="Palatino Linotype" w:hAnsi="Palatino Linotype" w:cs="Arial"/>
        </w:rPr>
        <w:t>la entrega de la expresión documental que dé cuenta de:</w:t>
      </w:r>
    </w:p>
    <w:p w:rsidR="006E3381" w:rsidRPr="006E3381" w:rsidRDefault="006E3381" w:rsidP="006E3381">
      <w:pPr>
        <w:ind w:left="851" w:right="757"/>
        <w:jc w:val="both"/>
        <w:rPr>
          <w:rFonts w:ascii="Palatino Linotype" w:hAnsi="Palatino Linotype" w:cs="Tahoma"/>
          <w:bCs/>
          <w:i/>
          <w:sz w:val="22"/>
          <w:szCs w:val="22"/>
        </w:rPr>
      </w:pPr>
      <w:r w:rsidRPr="006E3381">
        <w:rPr>
          <w:rFonts w:ascii="Palatino Linotype" w:hAnsi="Palatino Linotype" w:cs="Tahoma"/>
          <w:b/>
          <w:bCs/>
          <w:i/>
          <w:sz w:val="22"/>
          <w:szCs w:val="22"/>
        </w:rPr>
        <w:t xml:space="preserve">“(i) el monto total que paga el Ayuntamiento de Naucalpan de Juárez por concepto de honorarios; (ii) los nombres de los prestadores de servicios; (iii) los servicios para los cuales fueron contratados; (iv) el pago a cada prestador de servicios y; (v) el periodo de contratación. </w:t>
      </w:r>
    </w:p>
    <w:p w:rsidR="006E3381" w:rsidRPr="006E3381" w:rsidRDefault="006E3381" w:rsidP="006E3381">
      <w:pPr>
        <w:ind w:left="851" w:right="757"/>
        <w:jc w:val="both"/>
        <w:rPr>
          <w:rFonts w:ascii="Palatino Linotype" w:hAnsi="Palatino Linotype" w:cs="Tahoma"/>
          <w:b/>
          <w:bCs/>
          <w:i/>
          <w:sz w:val="22"/>
          <w:szCs w:val="22"/>
        </w:rPr>
      </w:pPr>
    </w:p>
    <w:p w:rsidR="006E3381" w:rsidRPr="006E3381" w:rsidRDefault="006E3381" w:rsidP="006E3381">
      <w:pPr>
        <w:ind w:left="851" w:right="757"/>
        <w:jc w:val="both"/>
        <w:rPr>
          <w:rFonts w:ascii="Palatino Linotype" w:hAnsi="Palatino Linotype" w:cs="Tahoma"/>
          <w:bCs/>
          <w:i/>
          <w:sz w:val="22"/>
          <w:szCs w:val="22"/>
        </w:rPr>
      </w:pPr>
      <w:r w:rsidRPr="006E3381">
        <w:rPr>
          <w:rFonts w:ascii="Palatino Linotype" w:hAnsi="Palatino Linotype" w:cs="Tahoma"/>
          <w:bCs/>
          <w:i/>
          <w:sz w:val="22"/>
          <w:szCs w:val="22"/>
        </w:rPr>
        <w:t xml:space="preserve">En caso de que las documentales que atiendan la pretensión del particular contengan información susceptible de ser clasificada, deberá elaborarse la versión pública correspondiente y proporcionarse el acta del Comité de Transparencia que confirme la clasificación correspondiente, apegándose siempre a lo dispuesto por la Ley de Transparencia y Acceso a la Información Pública del Estado de México y Municipios </w:t>
      </w:r>
      <w:r w:rsidRPr="006E3381">
        <w:rPr>
          <w:rFonts w:ascii="Palatino Linotype" w:hAnsi="Palatino Linotype" w:cs="Tahoma"/>
          <w:bCs/>
          <w:i/>
          <w:sz w:val="22"/>
          <w:szCs w:val="22"/>
        </w:rPr>
        <w:lastRenderedPageBreak/>
        <w:t>y los Lineamientos generales en materia de clasificación y desclasificación de la información, así como para la elaboración de versiones públicas, publicados en el Diario Oficial de la Federación el quince de abril de dos mil dieciséis.”</w:t>
      </w:r>
      <w:r w:rsidR="00D96DE7">
        <w:rPr>
          <w:rFonts w:ascii="Palatino Linotype" w:hAnsi="Palatino Linotype" w:cs="Tahoma"/>
          <w:bCs/>
          <w:i/>
          <w:sz w:val="22"/>
          <w:szCs w:val="22"/>
        </w:rPr>
        <w:t xml:space="preserve"> (Sic.)</w:t>
      </w:r>
    </w:p>
    <w:p w:rsidR="000C7356" w:rsidRPr="006B6503" w:rsidRDefault="000C7356" w:rsidP="000C7356">
      <w:pPr>
        <w:ind w:left="851" w:right="899"/>
        <w:jc w:val="both"/>
        <w:rPr>
          <w:rFonts w:ascii="Palatino Linotype" w:eastAsia="Calibri" w:hAnsi="Palatino Linotype" w:cs="Tahoma"/>
          <w:bCs/>
          <w:i/>
          <w:sz w:val="22"/>
          <w:szCs w:val="22"/>
          <w:lang w:eastAsia="en-US"/>
        </w:rPr>
      </w:pPr>
    </w:p>
    <w:p w:rsidR="000D100C" w:rsidRPr="00287848" w:rsidRDefault="000D100C" w:rsidP="000D100C">
      <w:pPr>
        <w:spacing w:line="360" w:lineRule="auto"/>
        <w:jc w:val="both"/>
        <w:rPr>
          <w:rFonts w:ascii="Palatino Linotype" w:hAnsi="Palatino Linotype" w:cs="Arial"/>
        </w:rPr>
      </w:pPr>
      <w:r w:rsidRPr="00287848">
        <w:rPr>
          <w:rFonts w:ascii="Palatino Linotype" w:hAnsi="Palatino Linotype" w:cs="Arial"/>
        </w:rPr>
        <w:t xml:space="preserve">En ese sentido, la que suscribe reitera, que si bien coincide en términos generales con el estudio de la resolución en comento, </w:t>
      </w:r>
      <w:r>
        <w:rPr>
          <w:rFonts w:ascii="Palatino Linotype" w:hAnsi="Palatino Linotype" w:cs="Arial"/>
        </w:rPr>
        <w:t xml:space="preserve">estimo que la Ponencia </w:t>
      </w:r>
      <w:proofErr w:type="spellStart"/>
      <w:r>
        <w:rPr>
          <w:rFonts w:ascii="Palatino Linotype" w:hAnsi="Palatino Linotype" w:cs="Arial"/>
        </w:rPr>
        <w:t>Resolutor</w:t>
      </w:r>
      <w:r w:rsidRPr="00287848">
        <w:rPr>
          <w:rFonts w:ascii="Palatino Linotype" w:hAnsi="Palatino Linotype" w:cs="Arial"/>
        </w:rPr>
        <w:t>a</w:t>
      </w:r>
      <w:proofErr w:type="spellEnd"/>
      <w:r w:rsidRPr="00287848">
        <w:rPr>
          <w:rFonts w:ascii="Palatino Linotype" w:hAnsi="Palatino Linotype" w:cs="Arial"/>
        </w:rPr>
        <w:t xml:space="preserve"> debió </w:t>
      </w:r>
      <w:r>
        <w:rPr>
          <w:rFonts w:ascii="Palatino Linotype" w:hAnsi="Palatino Linotype" w:cs="Arial"/>
        </w:rPr>
        <w:t>considerar</w:t>
      </w:r>
      <w:r w:rsidRPr="00287848">
        <w:rPr>
          <w:rFonts w:ascii="Palatino Linotype" w:hAnsi="Palatino Linotype" w:cs="Arial"/>
        </w:rPr>
        <w:t xml:space="preserve"> </w:t>
      </w:r>
      <w:r>
        <w:rPr>
          <w:rFonts w:ascii="Palatino Linotype" w:hAnsi="Palatino Linotype" w:cs="Arial"/>
        </w:rPr>
        <w:t>dejar</w:t>
      </w:r>
      <w:r w:rsidRPr="00287848">
        <w:rPr>
          <w:rFonts w:ascii="Palatino Linotype" w:hAnsi="Palatino Linotype" w:cs="Arial"/>
        </w:rPr>
        <w:t xml:space="preserve"> una salvedad en la que se indique que para el caso de </w:t>
      </w:r>
      <w:r>
        <w:rPr>
          <w:rFonts w:ascii="Palatino Linotype" w:hAnsi="Palatino Linotype" w:cs="Arial"/>
        </w:rPr>
        <w:t xml:space="preserve">no existir </w:t>
      </w:r>
      <w:r w:rsidR="00766885">
        <w:rPr>
          <w:rFonts w:ascii="Palatino Linotype" w:hAnsi="Palatino Linotype" w:cs="Arial"/>
        </w:rPr>
        <w:t>más</w:t>
      </w:r>
      <w:r>
        <w:rPr>
          <w:rFonts w:ascii="Palatino Linotype" w:hAnsi="Palatino Linotype" w:cs="Arial"/>
        </w:rPr>
        <w:t xml:space="preserve"> prestadores de servicio</w:t>
      </w:r>
      <w:r w:rsidR="00766885">
        <w:rPr>
          <w:rFonts w:ascii="Palatino Linotype" w:hAnsi="Palatino Linotype" w:cs="Arial"/>
        </w:rPr>
        <w:t>s</w:t>
      </w:r>
      <w:r>
        <w:rPr>
          <w:rFonts w:ascii="Palatino Linotype" w:hAnsi="Palatino Linotype" w:cs="Arial"/>
        </w:rPr>
        <w:t>, bastaría</w:t>
      </w:r>
      <w:r w:rsidRPr="00287848">
        <w:rPr>
          <w:rFonts w:ascii="Palatino Linotype" w:hAnsi="Palatino Linotype" w:cs="Arial"/>
        </w:rPr>
        <w:t xml:space="preserve"> con ha</w:t>
      </w:r>
      <w:r>
        <w:rPr>
          <w:rFonts w:ascii="Palatino Linotype" w:hAnsi="Palatino Linotype" w:cs="Arial"/>
        </w:rPr>
        <w:t xml:space="preserve">cerlo </w:t>
      </w:r>
      <w:r w:rsidRPr="00287848">
        <w:rPr>
          <w:rFonts w:ascii="Palatino Linotype" w:hAnsi="Palatino Linotype" w:cs="Arial"/>
        </w:rPr>
        <w:t>del conocimiento del</w:t>
      </w:r>
      <w:r w:rsidRPr="00287848">
        <w:rPr>
          <w:rFonts w:ascii="Palatino Linotype" w:hAnsi="Palatino Linotype" w:cs="Arial"/>
          <w:b/>
        </w:rPr>
        <w:t xml:space="preserve"> RECURRENTE</w:t>
      </w:r>
      <w:r w:rsidRPr="00287848">
        <w:rPr>
          <w:rFonts w:ascii="Palatino Linotype" w:hAnsi="Palatino Linotype" w:cs="Arial"/>
        </w:rPr>
        <w:t xml:space="preserve"> al momento de da</w:t>
      </w:r>
      <w:r w:rsidR="00A92CE7">
        <w:rPr>
          <w:rFonts w:ascii="Palatino Linotype" w:hAnsi="Palatino Linotype" w:cs="Arial"/>
        </w:rPr>
        <w:t>r cumplimiento a la resolución.</w:t>
      </w:r>
    </w:p>
    <w:p w:rsidR="000D100C" w:rsidRPr="00287848" w:rsidRDefault="000D100C" w:rsidP="000D100C">
      <w:pPr>
        <w:spacing w:line="360" w:lineRule="auto"/>
        <w:jc w:val="both"/>
        <w:rPr>
          <w:rFonts w:ascii="Palatino Linotype" w:hAnsi="Palatino Linotype" w:cs="Arial"/>
        </w:rPr>
      </w:pPr>
    </w:p>
    <w:p w:rsidR="000D100C" w:rsidRPr="000D100C" w:rsidRDefault="000D100C" w:rsidP="000D100C">
      <w:pPr>
        <w:spacing w:line="360" w:lineRule="auto"/>
        <w:jc w:val="both"/>
        <w:rPr>
          <w:rFonts w:ascii="Palatino Linotype" w:hAnsi="Palatino Linotype" w:cs="Arial"/>
        </w:rPr>
      </w:pPr>
      <w:r>
        <w:rPr>
          <w:rFonts w:ascii="Palatino Linotype" w:hAnsi="Palatino Linotype" w:cs="Arial"/>
        </w:rPr>
        <w:t xml:space="preserve">Así, se coincide con </w:t>
      </w:r>
      <w:r w:rsidR="00766885">
        <w:rPr>
          <w:rFonts w:ascii="Palatino Linotype" w:hAnsi="Palatino Linotype" w:cs="Arial"/>
        </w:rPr>
        <w:t>que se ordene la entrega de la información, empero</w:t>
      </w:r>
      <w:r>
        <w:rPr>
          <w:rFonts w:ascii="Palatino Linotype" w:hAnsi="Palatino Linotype" w:cs="Arial"/>
        </w:rPr>
        <w:t xml:space="preserve"> para el caso de </w:t>
      </w:r>
      <w:r w:rsidR="00766885">
        <w:rPr>
          <w:rFonts w:ascii="Palatino Linotype" w:hAnsi="Palatino Linotype" w:cs="Arial"/>
        </w:rPr>
        <w:t>que únicamente fueran tres</w:t>
      </w:r>
      <w:r>
        <w:rPr>
          <w:rFonts w:ascii="Palatino Linotype" w:hAnsi="Palatino Linotype" w:cs="Arial"/>
        </w:rPr>
        <w:t xml:space="preserve"> los prestadores de servicios </w:t>
      </w:r>
      <w:r w:rsidR="00D96DE7">
        <w:rPr>
          <w:rFonts w:ascii="Palatino Linotype" w:hAnsi="Palatino Linotype" w:cs="Arial"/>
        </w:rPr>
        <w:t xml:space="preserve">referidos en el </w:t>
      </w:r>
      <w:r w:rsidR="00766885">
        <w:rPr>
          <w:rFonts w:ascii="Palatino Linotype" w:hAnsi="Palatino Linotype" w:cs="Arial"/>
        </w:rPr>
        <w:t xml:space="preserve">Informe Justificado; bastaría con que </w:t>
      </w:r>
      <w:r w:rsidR="00D96DE7">
        <w:rPr>
          <w:rFonts w:ascii="Palatino Linotype" w:hAnsi="Palatino Linotype" w:cs="Arial"/>
        </w:rPr>
        <w:t xml:space="preserve">dicho hecho negativo se hiciera constar </w:t>
      </w:r>
      <w:r w:rsidR="00766885">
        <w:rPr>
          <w:rFonts w:ascii="Palatino Linotype" w:hAnsi="Palatino Linotype" w:cs="Arial"/>
        </w:rPr>
        <w:t xml:space="preserve">al dar cumplimiento </w:t>
      </w:r>
      <w:r w:rsidR="00D96DE7">
        <w:rPr>
          <w:rFonts w:ascii="Palatino Linotype" w:hAnsi="Palatino Linotype" w:cs="Arial"/>
        </w:rPr>
        <w:t xml:space="preserve">a la resolución, </w:t>
      </w:r>
      <w:r>
        <w:rPr>
          <w:rFonts w:ascii="Palatino Linotype" w:hAnsi="Palatino Linotype" w:cs="Arial"/>
        </w:rPr>
        <w:t>lo anterior</w:t>
      </w:r>
      <w:r w:rsidR="00766885">
        <w:rPr>
          <w:rFonts w:ascii="Palatino Linotype" w:hAnsi="Palatino Linotype" w:cs="Arial"/>
        </w:rPr>
        <w:t>,</w:t>
      </w:r>
      <w:r>
        <w:rPr>
          <w:rFonts w:ascii="Palatino Linotype" w:hAnsi="Palatino Linotype" w:cs="Arial"/>
        </w:rPr>
        <w:t xml:space="preserve"> en razón de que no se tiene una certeza jurídica </w:t>
      </w:r>
      <w:r w:rsidR="00D96DE7">
        <w:rPr>
          <w:rFonts w:ascii="Palatino Linotype" w:hAnsi="Palatino Linotype" w:cs="Arial"/>
        </w:rPr>
        <w:t>de que existan otros prestadores de servicios por honorarios</w:t>
      </w:r>
      <w:r>
        <w:rPr>
          <w:rFonts w:ascii="Palatino Linotype" w:hAnsi="Palatino Linotype" w:cs="Arial"/>
        </w:rPr>
        <w:t xml:space="preserve">, existe la posibilidad de que no se haya generado más información que </w:t>
      </w:r>
      <w:r w:rsidR="00766885">
        <w:rPr>
          <w:rFonts w:ascii="Palatino Linotype" w:hAnsi="Palatino Linotype" w:cs="Arial"/>
        </w:rPr>
        <w:t>la que se remitió</w:t>
      </w:r>
      <w:r>
        <w:rPr>
          <w:rFonts w:ascii="Palatino Linotype" w:hAnsi="Palatino Linotype" w:cs="Arial"/>
        </w:rPr>
        <w:t xml:space="preserve"> por parte del </w:t>
      </w:r>
      <w:r w:rsidRPr="000D100C">
        <w:rPr>
          <w:rFonts w:ascii="Palatino Linotype" w:hAnsi="Palatino Linotype" w:cs="Arial"/>
          <w:b/>
        </w:rPr>
        <w:t>SUJETO OBLIGADO</w:t>
      </w:r>
      <w:r w:rsidR="00D96DE7">
        <w:rPr>
          <w:rFonts w:ascii="Palatino Linotype" w:hAnsi="Palatino Linotype" w:cs="Arial"/>
          <w:b/>
        </w:rPr>
        <w:t xml:space="preserve"> </w:t>
      </w:r>
      <w:r w:rsidR="00D96DE7">
        <w:rPr>
          <w:rFonts w:ascii="Palatino Linotype" w:hAnsi="Palatino Linotype" w:cs="Arial"/>
        </w:rPr>
        <w:t>en su Informe Justificado</w:t>
      </w:r>
      <w:r>
        <w:rPr>
          <w:rFonts w:ascii="Palatino Linotype" w:hAnsi="Palatino Linotype" w:cs="Arial"/>
        </w:rPr>
        <w:t>.</w:t>
      </w:r>
    </w:p>
    <w:p w:rsidR="000C7356" w:rsidRPr="006B6503" w:rsidRDefault="00A92CE7" w:rsidP="001D585E">
      <w:pPr>
        <w:spacing w:before="100" w:beforeAutospacing="1" w:after="100" w:afterAutospacing="1" w:line="360" w:lineRule="auto"/>
        <w:jc w:val="both"/>
        <w:rPr>
          <w:rFonts w:ascii="Palatino Linotype" w:hAnsi="Palatino Linotype" w:cs="Arial"/>
          <w:b/>
          <w:lang w:val="es-MX"/>
        </w:rPr>
      </w:pPr>
      <w:r>
        <w:rPr>
          <w:rFonts w:ascii="Palatino Linotype" w:hAnsi="Palatino Linotype" w:cs="Arial"/>
          <w:lang w:val="es-MX"/>
        </w:rPr>
        <w:t xml:space="preserve"> </w:t>
      </w:r>
      <w:r w:rsidR="000D100C">
        <w:rPr>
          <w:rFonts w:ascii="Palatino Linotype" w:hAnsi="Palatino Linotype" w:cs="Arial"/>
          <w:lang w:val="es-MX"/>
        </w:rPr>
        <w:t xml:space="preserve">Asimismo, </w:t>
      </w:r>
      <w:r w:rsidR="000C7356" w:rsidRPr="006B6503">
        <w:rPr>
          <w:rFonts w:ascii="Palatino Linotype" w:hAnsi="Palatino Linotype" w:cs="Arial"/>
          <w:lang w:val="es-MX"/>
        </w:rPr>
        <w:t xml:space="preserve">difiero respecto a que se señale en el Resolutivo Quinto el artículo 222 de la Ley de la materia para dar vista al Contralor Interno y Titular del Órgano de Control y Vigilancia de este Instituto </w:t>
      </w:r>
      <w:r w:rsidR="000D100C">
        <w:rPr>
          <w:rFonts w:ascii="Palatino Linotype" w:hAnsi="Palatino Linotype" w:cs="Arial"/>
          <w:lang w:val="es-MX"/>
        </w:rPr>
        <w:t>por dar extemporáneamente atención a la solicitud.</w:t>
      </w:r>
    </w:p>
    <w:p w:rsidR="006D1961" w:rsidRPr="006B6503" w:rsidRDefault="000D100C" w:rsidP="006D1961">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Ahora bien, al no dar atención a la solicitud dentro del plazo establecido </w:t>
      </w:r>
      <w:r w:rsidR="006D1961" w:rsidRPr="006B6503">
        <w:rPr>
          <w:rFonts w:ascii="Palatino Linotype" w:hAnsi="Palatino Linotype" w:cs="Arial"/>
          <w:b/>
        </w:rPr>
        <w:t>EL SUJETO OBLIGADO</w:t>
      </w:r>
      <w:r w:rsidR="006D1961" w:rsidRPr="006B6503">
        <w:rPr>
          <w:rFonts w:ascii="Palatino Linotype" w:hAnsi="Palatino Linotype" w:cs="Arial"/>
        </w:rPr>
        <w:t xml:space="preserve">, la Ponencia </w:t>
      </w:r>
      <w:proofErr w:type="spellStart"/>
      <w:r w:rsidR="006D1961" w:rsidRPr="006B6503">
        <w:rPr>
          <w:rFonts w:ascii="Palatino Linotype" w:hAnsi="Palatino Linotype" w:cs="Arial"/>
        </w:rPr>
        <w:t>Resolutora</w:t>
      </w:r>
      <w:proofErr w:type="spellEnd"/>
      <w:r w:rsidR="006D1961" w:rsidRPr="006B6503">
        <w:rPr>
          <w:rFonts w:ascii="Palatino Linotype" w:hAnsi="Palatino Linotype" w:cs="Arial"/>
        </w:rPr>
        <w:t xml:space="preserve"> determinó que al vulnerar el Derecho de Acceso </w:t>
      </w:r>
      <w:r w:rsidR="006D1961" w:rsidRPr="006B6503">
        <w:rPr>
          <w:rFonts w:ascii="Palatino Linotype" w:hAnsi="Palatino Linotype" w:cs="Arial"/>
        </w:rPr>
        <w:lastRenderedPageBreak/>
        <w:t xml:space="preserve">a la Información Pública del </w:t>
      </w:r>
      <w:r w:rsidR="006D1961" w:rsidRPr="006B6503">
        <w:rPr>
          <w:rFonts w:ascii="Palatino Linotype" w:hAnsi="Palatino Linotype" w:cs="Arial"/>
          <w:b/>
        </w:rPr>
        <w:t xml:space="preserve">RECURRENTE </w:t>
      </w:r>
      <w:r w:rsidR="006D1961" w:rsidRPr="006B6503">
        <w:rPr>
          <w:rFonts w:ascii="Palatino Linotype" w:hAnsi="Palatino Linotype" w:cs="Arial"/>
        </w:rPr>
        <w:t>lo procedente era dar vista al Órgano de Control y Vigilancia con fundamento en los artículos 190 y 222 de la Ley de la materia.</w:t>
      </w:r>
    </w:p>
    <w:p w:rsidR="006D1961" w:rsidRPr="006B6503" w:rsidRDefault="006D1961" w:rsidP="006D1961">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t xml:space="preserve">Lo anterior es así, en razón de que, </w:t>
      </w:r>
      <w:r w:rsidRPr="006B6503">
        <w:rPr>
          <w:rFonts w:ascii="Palatino Linotype" w:hAnsi="Palatino Linotype" w:cs="Arial"/>
          <w:b/>
        </w:rPr>
        <w:t>EL SUJETO OBLIGADO</w:t>
      </w:r>
      <w:r w:rsidRPr="006B6503">
        <w:rPr>
          <w:rFonts w:ascii="Palatino Linotype" w:hAnsi="Palatino Linotype" w:cs="Arial"/>
        </w:rPr>
        <w:t xml:space="preserve"> debió dar </w:t>
      </w:r>
      <w:r w:rsidR="00710470">
        <w:rPr>
          <w:rFonts w:ascii="Palatino Linotype" w:hAnsi="Palatino Linotype" w:cs="Arial"/>
        </w:rPr>
        <w:t>atención</w:t>
      </w:r>
      <w:r w:rsidRPr="006B6503">
        <w:rPr>
          <w:rFonts w:ascii="Palatino Linotype" w:hAnsi="Palatino Linotype" w:cs="Arial"/>
        </w:rPr>
        <w:t xml:space="preserve"> a la solicitud de información pública presentada por el particular dentro del término previsto en el artículo 163 de la Ley de Transparencia que a la letra dice:</w:t>
      </w:r>
    </w:p>
    <w:p w:rsidR="006D1961" w:rsidRPr="00766885" w:rsidRDefault="006D1961" w:rsidP="006B6503">
      <w:pPr>
        <w:ind w:left="851" w:right="902"/>
        <w:jc w:val="both"/>
        <w:rPr>
          <w:rFonts w:ascii="Palatino Linotype" w:hAnsi="Palatino Linotype" w:cs="Arial"/>
          <w:b/>
          <w:bCs/>
          <w:i/>
          <w:color w:val="000000" w:themeColor="text1"/>
          <w:sz w:val="22"/>
          <w:szCs w:val="22"/>
        </w:rPr>
      </w:pPr>
      <w:r w:rsidRPr="00766885">
        <w:rPr>
          <w:rFonts w:ascii="Palatino Linotype" w:hAnsi="Palatino Linotype" w:cs="Arial"/>
          <w:b/>
          <w:bCs/>
          <w:i/>
          <w:color w:val="000000" w:themeColor="text1"/>
          <w:sz w:val="22"/>
          <w:szCs w:val="22"/>
        </w:rPr>
        <w:t>“Artículo 163.</w:t>
      </w:r>
      <w:r w:rsidRPr="00766885">
        <w:rPr>
          <w:rFonts w:ascii="Palatino Linotype" w:hAnsi="Palatino Linotype" w:cs="Arial"/>
          <w:bCs/>
          <w:i/>
          <w:color w:val="000000" w:themeColor="text1"/>
          <w:sz w:val="22"/>
          <w:szCs w:val="22"/>
        </w:rPr>
        <w:t xml:space="preserve"> </w:t>
      </w:r>
      <w:r w:rsidRPr="00766885">
        <w:rPr>
          <w:rFonts w:ascii="Palatino Linotype" w:hAnsi="Palatino Linotype" w:cs="Arial"/>
          <w:b/>
          <w:bCs/>
          <w:i/>
          <w:color w:val="000000" w:themeColor="text1"/>
          <w:sz w:val="22"/>
          <w:szCs w:val="22"/>
        </w:rPr>
        <w:t>La Unidad de Transparencia deberá notificar la respuesta a la solicitud al interesado en el menor tiempo posible, que no podrá exceder de quince días hábiles, contados a partir del día siguiente a la presentación de aquélla.</w:t>
      </w:r>
    </w:p>
    <w:p w:rsidR="006D1961" w:rsidRPr="00766885" w:rsidRDefault="006D1961" w:rsidP="006B6503">
      <w:pPr>
        <w:ind w:left="851" w:right="902"/>
        <w:jc w:val="both"/>
        <w:rPr>
          <w:rFonts w:ascii="Palatino Linotype" w:hAnsi="Palatino Linotype" w:cs="Arial"/>
          <w:bCs/>
          <w:i/>
          <w:color w:val="000000" w:themeColor="text1"/>
          <w:sz w:val="22"/>
          <w:szCs w:val="22"/>
        </w:rPr>
      </w:pPr>
      <w:r w:rsidRPr="00766885">
        <w:rPr>
          <w:rFonts w:ascii="Palatino Linotype" w:hAnsi="Palatino Linotype" w:cs="Arial"/>
          <w:bCs/>
          <w:i/>
          <w:color w:val="000000" w:themeColor="text1"/>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6B6503" w:rsidRPr="00766885" w:rsidRDefault="006B6503" w:rsidP="006B6503">
      <w:pPr>
        <w:ind w:left="851" w:right="902"/>
        <w:jc w:val="both"/>
        <w:rPr>
          <w:rFonts w:ascii="Palatino Linotype" w:hAnsi="Palatino Linotype" w:cs="Arial"/>
          <w:sz w:val="22"/>
          <w:szCs w:val="22"/>
        </w:rPr>
      </w:pPr>
      <w:r w:rsidRPr="00766885">
        <w:rPr>
          <w:rFonts w:ascii="Palatino Linotype" w:hAnsi="Palatino Linotype" w:cs="Arial"/>
          <w:bCs/>
          <w:i/>
          <w:color w:val="000000" w:themeColor="text1"/>
          <w:sz w:val="22"/>
          <w:szCs w:val="22"/>
        </w:rPr>
        <w:t>(Énfasis añadido)</w:t>
      </w:r>
    </w:p>
    <w:p w:rsidR="006D1961" w:rsidRDefault="006D1961" w:rsidP="006D1961">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t xml:space="preserve">En ese sentido, la </w:t>
      </w:r>
      <w:r w:rsidR="006B6503" w:rsidRPr="006B6503">
        <w:rPr>
          <w:rFonts w:ascii="Palatino Linotype" w:hAnsi="Palatino Linotype" w:cs="Arial"/>
        </w:rPr>
        <w:t xml:space="preserve">suscrita </w:t>
      </w:r>
      <w:r w:rsidRPr="006B6503">
        <w:rPr>
          <w:rFonts w:ascii="Palatino Linotype" w:hAnsi="Palatino Linotype" w:cs="Arial"/>
        </w:rPr>
        <w:t>coincide con el hecho de que, de acuerdo con los procedimientos establecidos en la Ley de la Materia se debe dar vista al Contralor Interno del Instituto a fin de que en el ejercicio de sus respectivas atribuciones determine el grado de responsabilidad de</w:t>
      </w:r>
      <w:r w:rsidR="006B6503" w:rsidRPr="006B6503">
        <w:rPr>
          <w:rFonts w:ascii="Palatino Linotype" w:hAnsi="Palatino Linotype" w:cs="Arial"/>
        </w:rPr>
        <w:t xml:space="preserve"> </w:t>
      </w:r>
      <w:r w:rsidRPr="006B6503">
        <w:rPr>
          <w:rFonts w:ascii="Palatino Linotype" w:hAnsi="Palatino Linotype" w:cs="Arial"/>
        </w:rPr>
        <w:t>l</w:t>
      </w:r>
      <w:r w:rsidR="006B6503" w:rsidRPr="006B6503">
        <w:rPr>
          <w:rFonts w:ascii="Palatino Linotype" w:hAnsi="Palatino Linotype" w:cs="Arial"/>
        </w:rPr>
        <w:t xml:space="preserve">os Sujetos Obligados; </w:t>
      </w:r>
      <w:r w:rsidRPr="006B6503">
        <w:rPr>
          <w:rFonts w:ascii="Palatino Linotype" w:hAnsi="Palatino Linotype" w:cs="Arial"/>
        </w:rPr>
        <w:t>sin embargo</w:t>
      </w:r>
      <w:r w:rsidR="003E709A">
        <w:rPr>
          <w:rFonts w:ascii="Palatino Linotype" w:hAnsi="Palatino Linotype" w:cs="Arial"/>
        </w:rPr>
        <w:t>,</w:t>
      </w:r>
      <w:r w:rsidRPr="006B6503">
        <w:rPr>
          <w:rFonts w:ascii="Palatino Linotype" w:hAnsi="Palatino Linotype" w:cs="Arial"/>
        </w:rPr>
        <w:t xml:space="preserve"> difiero respecto a que el recurso de revisión sea el medio por el cual deba determinarse el actuar de los Sujetos Obligados, esto es así, </w:t>
      </w:r>
      <w:r w:rsidRPr="006B6503">
        <w:rPr>
          <w:rFonts w:ascii="Palatino Linotype" w:hAnsi="Palatino Linotype" w:cs="Arial"/>
          <w:color w:val="000000"/>
          <w:lang w:eastAsia="es-MX"/>
        </w:rPr>
        <w:t xml:space="preserve">toda vez que el recurso de revisión es un medio de impugnación más no es para determinar irregularidades cometidas por los Sujetos Obligados en la sustanciación del procedimiento de acceso a la información pública, </w:t>
      </w:r>
      <w:r w:rsidRPr="006B6503">
        <w:rPr>
          <w:rFonts w:ascii="Palatino Linotype" w:hAnsi="Palatino Linotype" w:cs="Arial"/>
        </w:rPr>
        <w:t>tal como lo advierte el artículo 190 de la Ley de Transparencia:</w:t>
      </w:r>
    </w:p>
    <w:p w:rsidR="00FF3E82" w:rsidRPr="006B6503" w:rsidRDefault="00FF3E82" w:rsidP="006D1961">
      <w:pPr>
        <w:spacing w:before="100" w:beforeAutospacing="1" w:after="100" w:afterAutospacing="1" w:line="360" w:lineRule="auto"/>
        <w:jc w:val="both"/>
        <w:rPr>
          <w:rFonts w:ascii="Palatino Linotype" w:hAnsi="Palatino Linotype" w:cs="Arial"/>
        </w:rPr>
      </w:pPr>
    </w:p>
    <w:p w:rsidR="006D1961" w:rsidRPr="006B6503" w:rsidRDefault="006D1961" w:rsidP="006D1961">
      <w:pPr>
        <w:ind w:left="851" w:right="902"/>
        <w:jc w:val="both"/>
        <w:rPr>
          <w:rFonts w:ascii="Palatino Linotype" w:hAnsi="Palatino Linotype"/>
          <w:b/>
          <w:i/>
          <w:sz w:val="22"/>
          <w:szCs w:val="22"/>
        </w:rPr>
      </w:pPr>
      <w:r w:rsidRPr="006B6503">
        <w:rPr>
          <w:rFonts w:ascii="Palatino Linotype" w:hAnsi="Palatino Linotype"/>
          <w:b/>
          <w:i/>
          <w:sz w:val="22"/>
          <w:szCs w:val="22"/>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w:t>
      </w:r>
      <w:r w:rsidRPr="006B6503">
        <w:rPr>
          <w:rFonts w:ascii="Palatino Linotype" w:hAnsi="Palatino Linotype"/>
          <w:i/>
          <w:sz w:val="22"/>
          <w:szCs w:val="22"/>
        </w:rPr>
        <w:t xml:space="preserve"> de la instancia competente para que éste inicie, en su caso, el procedimiento de responsabilidad respectivo, cuyo resultado deberá de ser informado al Instituto</w:t>
      </w:r>
      <w:r w:rsidRPr="006B6503">
        <w:rPr>
          <w:rFonts w:ascii="Palatino Linotype" w:hAnsi="Palatino Linotype"/>
          <w:b/>
          <w:i/>
          <w:sz w:val="22"/>
          <w:szCs w:val="22"/>
        </w:rPr>
        <w:t>.”</w:t>
      </w:r>
    </w:p>
    <w:p w:rsidR="006B6503" w:rsidRDefault="006B6503" w:rsidP="006D1961">
      <w:pPr>
        <w:ind w:left="851" w:right="902"/>
        <w:jc w:val="both"/>
        <w:rPr>
          <w:rFonts w:ascii="Palatino Linotype" w:hAnsi="Palatino Linotype"/>
          <w:i/>
          <w:sz w:val="22"/>
          <w:szCs w:val="22"/>
        </w:rPr>
      </w:pPr>
      <w:r w:rsidRPr="006B6503">
        <w:rPr>
          <w:rFonts w:ascii="Palatino Linotype" w:hAnsi="Palatino Linotype"/>
          <w:i/>
          <w:sz w:val="22"/>
          <w:szCs w:val="22"/>
        </w:rPr>
        <w:t>(Énfasis añadido)</w:t>
      </w:r>
    </w:p>
    <w:p w:rsidR="00FF3E82" w:rsidRPr="006B6503" w:rsidRDefault="00FF3E82" w:rsidP="006D1961">
      <w:pPr>
        <w:ind w:left="851" w:right="902"/>
        <w:jc w:val="both"/>
        <w:rPr>
          <w:rFonts w:ascii="Palatino Linotype" w:hAnsi="Palatino Linotype"/>
          <w:i/>
          <w:sz w:val="22"/>
          <w:szCs w:val="22"/>
        </w:rPr>
      </w:pPr>
    </w:p>
    <w:p w:rsidR="006D1961" w:rsidRPr="006B6503" w:rsidRDefault="006D1961" w:rsidP="006D1961">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t xml:space="preserve">Es así que, de la transcripción </w:t>
      </w:r>
      <w:r w:rsidR="006B6503" w:rsidRPr="006B6503">
        <w:rPr>
          <w:rFonts w:ascii="Palatino Linotype" w:hAnsi="Palatino Linotype" w:cs="Arial"/>
        </w:rPr>
        <w:t xml:space="preserve">anterior </w:t>
      </w:r>
      <w:r w:rsidRPr="006B6503">
        <w:rPr>
          <w:rFonts w:ascii="Palatino Linotype" w:hAnsi="Palatino Linotype" w:cs="Arial"/>
        </w:rPr>
        <w:t>se acredita que corresponde a la Contraloría Interna de este Instituto</w:t>
      </w:r>
      <w:r w:rsidR="00F3091E">
        <w:rPr>
          <w:rFonts w:ascii="Palatino Linotype" w:hAnsi="Palatino Linotype" w:cs="Arial"/>
        </w:rPr>
        <w:t>,</w:t>
      </w:r>
      <w:r w:rsidRPr="006B6503">
        <w:rPr>
          <w:rFonts w:ascii="Palatino Linotype" w:hAnsi="Palatino Linotype" w:cs="Arial"/>
        </w:rPr>
        <w:t xml:space="preserve"> </w:t>
      </w:r>
      <w:r w:rsidR="00F3091E">
        <w:rPr>
          <w:rFonts w:ascii="Palatino Linotype" w:hAnsi="Palatino Linotype" w:cs="Arial"/>
        </w:rPr>
        <w:t>cuando de la sustanciación de los recursos de revisión se adviertan probables incumplimientos determinar lo conducente</w:t>
      </w:r>
      <w:r w:rsidRPr="006B6503">
        <w:rPr>
          <w:rFonts w:ascii="Palatino Linotype" w:hAnsi="Palatino Linotype" w:cs="Arial"/>
        </w:rPr>
        <w:t>; caso que se actualiza con la hipótes</w:t>
      </w:r>
      <w:r w:rsidR="006B6503" w:rsidRPr="006B6503">
        <w:rPr>
          <w:rFonts w:ascii="Palatino Linotype" w:hAnsi="Palatino Linotype" w:cs="Arial"/>
        </w:rPr>
        <w:t xml:space="preserve">is legal establecida </w:t>
      </w:r>
      <w:r w:rsidRPr="006B6503">
        <w:rPr>
          <w:rFonts w:ascii="Palatino Linotype" w:hAnsi="Palatino Linotype" w:cs="Arial"/>
        </w:rPr>
        <w:t xml:space="preserve">en concordancia con el ordinal 190 de la </w:t>
      </w:r>
      <w:r w:rsidR="00F3091E" w:rsidRPr="006B6503">
        <w:rPr>
          <w:rFonts w:ascii="Palatino Linotype" w:hAnsi="Palatino Linotype" w:cs="Arial"/>
        </w:rPr>
        <w:t xml:space="preserve">Ley </w:t>
      </w:r>
      <w:r w:rsidRPr="006B6503">
        <w:rPr>
          <w:rFonts w:ascii="Palatino Linotype" w:hAnsi="Palatino Linotype" w:cs="Arial"/>
        </w:rPr>
        <w:t xml:space="preserve">de la materia; </w:t>
      </w:r>
      <w:r w:rsidR="00F3091E">
        <w:rPr>
          <w:rFonts w:ascii="Palatino Linotype" w:hAnsi="Palatino Linotype" w:cs="Arial"/>
        </w:rPr>
        <w:t xml:space="preserve">sin embargo, el artículo 222 se encuentra inmerso en el Titulo Noveno denominado de las </w:t>
      </w:r>
      <w:r w:rsidR="00F3091E" w:rsidRPr="00F3091E">
        <w:rPr>
          <w:rFonts w:ascii="Palatino Linotype" w:hAnsi="Palatino Linotype" w:cs="Arial"/>
        </w:rPr>
        <w:t xml:space="preserve">Medidas </w:t>
      </w:r>
      <w:r w:rsidR="00F3091E">
        <w:rPr>
          <w:rFonts w:ascii="Palatino Linotype" w:hAnsi="Palatino Linotype" w:cs="Arial"/>
        </w:rPr>
        <w:t xml:space="preserve">de </w:t>
      </w:r>
      <w:r w:rsidR="00F3091E" w:rsidRPr="00F3091E">
        <w:rPr>
          <w:rFonts w:ascii="Palatino Linotype" w:hAnsi="Palatino Linotype" w:cs="Arial"/>
        </w:rPr>
        <w:t xml:space="preserve">Apremio, Responsabilidades </w:t>
      </w:r>
      <w:r w:rsidR="00F3091E">
        <w:rPr>
          <w:rFonts w:ascii="Palatino Linotype" w:hAnsi="Palatino Linotype" w:cs="Arial"/>
        </w:rPr>
        <w:t>y</w:t>
      </w:r>
      <w:r w:rsidR="00F3091E" w:rsidRPr="00F3091E">
        <w:rPr>
          <w:rFonts w:ascii="Palatino Linotype" w:hAnsi="Palatino Linotype" w:cs="Arial"/>
        </w:rPr>
        <w:t xml:space="preserve"> Sanciones</w:t>
      </w:r>
      <w:r w:rsidR="00CD0213">
        <w:rPr>
          <w:rFonts w:ascii="Palatino Linotype" w:hAnsi="Palatino Linotype" w:cs="Arial"/>
        </w:rPr>
        <w:t>, de lo que puede advertirse que el recurso de revisión no es la vía para determinar las responsabilidades administrativas por incumplimiento de obligaciones previstas en la Ley.</w:t>
      </w:r>
    </w:p>
    <w:p w:rsidR="006B6503" w:rsidRPr="006B6503" w:rsidRDefault="001D585E" w:rsidP="001D585E">
      <w:pPr>
        <w:spacing w:before="100" w:beforeAutospacing="1" w:after="100" w:afterAutospacing="1" w:line="360" w:lineRule="auto"/>
        <w:jc w:val="both"/>
        <w:rPr>
          <w:rFonts w:ascii="Palatino Linotype" w:hAnsi="Palatino Linotype" w:cs="Arial"/>
        </w:rPr>
      </w:pPr>
      <w:r w:rsidRPr="006B6503">
        <w:rPr>
          <w:rFonts w:ascii="Palatino Linotype" w:hAnsi="Palatino Linotype" w:cs="Arial"/>
        </w:rPr>
        <w:t xml:space="preserve">Es por lo anteriormente expuesto que, la que suscrita emite </w:t>
      </w:r>
      <w:r w:rsidRPr="006B6503">
        <w:rPr>
          <w:rFonts w:ascii="Palatino Linotype" w:hAnsi="Palatino Linotype" w:cs="Arial"/>
          <w:b/>
        </w:rPr>
        <w:t>VOTO PARTICULAR</w:t>
      </w:r>
      <w:r w:rsidRPr="006B6503">
        <w:rPr>
          <w:rFonts w:ascii="Palatino Linotype" w:hAnsi="Palatino Linotype" w:cs="Arial"/>
        </w:rPr>
        <w:t xml:space="preserve">, pues se insiste que lo procedente </w:t>
      </w:r>
      <w:r w:rsidR="006B6503" w:rsidRPr="006B6503">
        <w:rPr>
          <w:rFonts w:ascii="Palatino Linotype" w:hAnsi="Palatino Linotype" w:cs="Arial"/>
        </w:rPr>
        <w:t xml:space="preserve">respecto al </w:t>
      </w:r>
      <w:r w:rsidR="00710470">
        <w:rPr>
          <w:rFonts w:ascii="Palatino Linotype" w:hAnsi="Palatino Linotype" w:cs="Arial"/>
        </w:rPr>
        <w:t>resolutivo segundo era colocar sa</w:t>
      </w:r>
      <w:r w:rsidR="00766885">
        <w:rPr>
          <w:rFonts w:ascii="Palatino Linotype" w:hAnsi="Palatino Linotype" w:cs="Arial"/>
        </w:rPr>
        <w:t>lvedad para en caso de que los tres</w:t>
      </w:r>
      <w:r w:rsidR="00710470">
        <w:rPr>
          <w:rFonts w:ascii="Palatino Linotype" w:hAnsi="Palatino Linotype" w:cs="Arial"/>
        </w:rPr>
        <w:t xml:space="preserve"> prestadores de servicios </w:t>
      </w:r>
      <w:r w:rsidR="00FF3E82">
        <w:rPr>
          <w:rFonts w:ascii="Palatino Linotype" w:hAnsi="Palatino Linotype" w:cs="Arial"/>
        </w:rPr>
        <w:t xml:space="preserve">profesionales </w:t>
      </w:r>
      <w:r w:rsidR="00710470">
        <w:rPr>
          <w:rFonts w:ascii="Palatino Linotype" w:hAnsi="Palatino Linotype" w:cs="Arial"/>
        </w:rPr>
        <w:t xml:space="preserve">remitidos en Informe Justificado fueran los únicos con los que tiene relación </w:t>
      </w:r>
      <w:r w:rsidR="00710470" w:rsidRPr="00710470">
        <w:rPr>
          <w:rFonts w:ascii="Palatino Linotype" w:hAnsi="Palatino Linotype" w:cs="Arial"/>
          <w:b/>
        </w:rPr>
        <w:t>EL SUJETO OBLIGADO</w:t>
      </w:r>
      <w:r w:rsidR="00710470">
        <w:rPr>
          <w:rFonts w:ascii="Palatino Linotype" w:hAnsi="Palatino Linotype" w:cs="Arial"/>
        </w:rPr>
        <w:t xml:space="preserve">, lo anterior a fin de otorgar </w:t>
      </w:r>
      <w:r w:rsidR="00CD0213">
        <w:rPr>
          <w:rFonts w:ascii="Palatino Linotype" w:hAnsi="Palatino Linotype" w:cs="Arial"/>
        </w:rPr>
        <w:t>certeza jurídica a las partes</w:t>
      </w:r>
      <w:r w:rsidR="006B6503" w:rsidRPr="006B6503">
        <w:rPr>
          <w:rFonts w:ascii="Palatino Linotype" w:hAnsi="Palatino Linotype" w:cs="Arial"/>
        </w:rPr>
        <w:t xml:space="preserve">, así como que, lo </w:t>
      </w:r>
      <w:r w:rsidR="00766885">
        <w:rPr>
          <w:rFonts w:ascii="Palatino Linotype" w:hAnsi="Palatino Linotype" w:cs="Arial"/>
        </w:rPr>
        <w:t>ideal</w:t>
      </w:r>
      <w:r w:rsidR="006B6503" w:rsidRPr="006B6503">
        <w:rPr>
          <w:rFonts w:ascii="Palatino Linotype" w:hAnsi="Palatino Linotype" w:cs="Arial"/>
        </w:rPr>
        <w:t xml:space="preserve"> respecto a la </w:t>
      </w:r>
      <w:r w:rsidR="00710470">
        <w:rPr>
          <w:rFonts w:ascii="Palatino Linotype" w:hAnsi="Palatino Linotype" w:cs="Arial"/>
        </w:rPr>
        <w:t>atención tardía a la solicitud por parte</w:t>
      </w:r>
      <w:r w:rsidR="006B6503" w:rsidRPr="006B6503">
        <w:rPr>
          <w:rFonts w:ascii="Palatino Linotype" w:hAnsi="Palatino Linotype" w:cs="Arial"/>
        </w:rPr>
        <w:t xml:space="preserve"> del </w:t>
      </w:r>
      <w:r w:rsidR="006B6503" w:rsidRPr="006B6503">
        <w:rPr>
          <w:rFonts w:ascii="Palatino Linotype" w:hAnsi="Palatino Linotype" w:cs="Arial"/>
          <w:b/>
        </w:rPr>
        <w:t>SUJETO OBLIGADO</w:t>
      </w:r>
      <w:r w:rsidR="006B6503" w:rsidRPr="006B6503">
        <w:rPr>
          <w:rFonts w:ascii="Palatino Linotype" w:hAnsi="Palatino Linotype" w:cs="Arial"/>
        </w:rPr>
        <w:t xml:space="preserve"> era determinar dar </w:t>
      </w:r>
      <w:r w:rsidR="006B6503" w:rsidRPr="006B6503">
        <w:rPr>
          <w:rFonts w:ascii="Palatino Linotype" w:hAnsi="Palatino Linotype" w:cs="Arial"/>
        </w:rPr>
        <w:lastRenderedPageBreak/>
        <w:t xml:space="preserve">vista al Órgano de Control Interno de este Instituto de conformidad </w:t>
      </w:r>
      <w:r w:rsidR="00CD0213">
        <w:rPr>
          <w:rFonts w:ascii="Palatino Linotype" w:hAnsi="Palatino Linotype" w:cs="Arial"/>
        </w:rPr>
        <w:t xml:space="preserve">únicamente </w:t>
      </w:r>
      <w:r w:rsidR="006B6503" w:rsidRPr="006B6503">
        <w:rPr>
          <w:rFonts w:ascii="Palatino Linotype" w:hAnsi="Palatino Linotype" w:cs="Arial"/>
        </w:rPr>
        <w:t>con el ordinal 190 de la Ley de Transparencia y Acceso a la Información Pública de</w:t>
      </w:r>
      <w:r w:rsidR="00FF3E82">
        <w:rPr>
          <w:rFonts w:ascii="Palatino Linotype" w:hAnsi="Palatino Linotype" w:cs="Arial"/>
        </w:rPr>
        <w:t>l Estado de México y Municipios ya que es la hipótesis que se actualiza en el presente caso.</w:t>
      </w:r>
    </w:p>
    <w:p w:rsidR="001D585E" w:rsidRPr="006B6503" w:rsidRDefault="001D585E" w:rsidP="001D585E">
      <w:pPr>
        <w:spacing w:before="100" w:beforeAutospacing="1" w:after="100" w:afterAutospacing="1" w:line="360" w:lineRule="auto"/>
        <w:jc w:val="both"/>
        <w:rPr>
          <w:rFonts w:ascii="Palatino Linotype" w:hAnsi="Palatino Linotype" w:cs="Arial"/>
        </w:rPr>
      </w:pPr>
    </w:p>
    <w:p w:rsidR="001D585E" w:rsidRDefault="001D585E" w:rsidP="001D585E">
      <w:pPr>
        <w:spacing w:before="100" w:beforeAutospacing="1" w:after="100" w:afterAutospacing="1" w:line="360" w:lineRule="auto"/>
        <w:jc w:val="both"/>
        <w:rPr>
          <w:rFonts w:ascii="Palatino Linotype" w:hAnsi="Palatino Linotype" w:cs="Arial"/>
        </w:rPr>
      </w:pPr>
    </w:p>
    <w:p w:rsidR="00A92CE7" w:rsidRDefault="00A92CE7" w:rsidP="001D585E">
      <w:pPr>
        <w:spacing w:before="100" w:beforeAutospacing="1" w:after="100" w:afterAutospacing="1" w:line="360" w:lineRule="auto"/>
        <w:jc w:val="both"/>
        <w:rPr>
          <w:rFonts w:ascii="Palatino Linotype" w:hAnsi="Palatino Linotype" w:cs="Arial"/>
        </w:rPr>
      </w:pPr>
    </w:p>
    <w:p w:rsidR="00A92CE7" w:rsidRDefault="00A92CE7" w:rsidP="001D585E">
      <w:pPr>
        <w:spacing w:before="100" w:beforeAutospacing="1" w:after="100" w:afterAutospacing="1" w:line="360" w:lineRule="auto"/>
        <w:jc w:val="both"/>
        <w:rPr>
          <w:rFonts w:ascii="Palatino Linotype" w:hAnsi="Palatino Linotype" w:cs="Arial"/>
        </w:rPr>
      </w:pPr>
    </w:p>
    <w:p w:rsidR="00A92CE7" w:rsidRDefault="00A92CE7" w:rsidP="001D585E">
      <w:pPr>
        <w:spacing w:before="100" w:beforeAutospacing="1" w:after="100" w:afterAutospacing="1" w:line="360" w:lineRule="auto"/>
        <w:jc w:val="both"/>
        <w:rPr>
          <w:rFonts w:ascii="Palatino Linotype" w:hAnsi="Palatino Linotype" w:cs="Arial"/>
        </w:rPr>
      </w:pPr>
    </w:p>
    <w:p w:rsidR="001D585E" w:rsidRPr="006B6503" w:rsidRDefault="001D585E" w:rsidP="001D585E">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1D585E" w:rsidRPr="006B6503" w:rsidTr="009B0EFA">
        <w:trPr>
          <w:jc w:val="center"/>
        </w:trPr>
        <w:tc>
          <w:tcPr>
            <w:tcW w:w="4393" w:type="dxa"/>
          </w:tcPr>
          <w:p w:rsidR="001D585E" w:rsidRPr="006B6503" w:rsidRDefault="001D585E" w:rsidP="009B0EFA">
            <w:pPr>
              <w:jc w:val="center"/>
              <w:rPr>
                <w:rFonts w:ascii="Palatino Linotype" w:hAnsi="Palatino Linotype"/>
                <w:b/>
              </w:rPr>
            </w:pPr>
            <w:r w:rsidRPr="006B6503">
              <w:rPr>
                <w:rFonts w:ascii="Palatino Linotype" w:hAnsi="Palatino Linotype"/>
                <w:b/>
              </w:rPr>
              <w:t>EVA ABAID YAPUR</w:t>
            </w:r>
          </w:p>
          <w:p w:rsidR="001D585E" w:rsidRDefault="001D585E" w:rsidP="00A92CE7">
            <w:pPr>
              <w:jc w:val="center"/>
              <w:rPr>
                <w:rFonts w:ascii="Palatino Linotype" w:hAnsi="Palatino Linotype"/>
                <w:b/>
              </w:rPr>
            </w:pPr>
            <w:r w:rsidRPr="006B6503">
              <w:rPr>
                <w:rFonts w:ascii="Palatino Linotype" w:hAnsi="Palatino Linotype"/>
                <w:b/>
              </w:rPr>
              <w:t>COMISIONADA</w:t>
            </w:r>
          </w:p>
          <w:p w:rsidR="00991F87" w:rsidRDefault="00991F87" w:rsidP="00A92CE7">
            <w:pPr>
              <w:jc w:val="center"/>
              <w:rPr>
                <w:rFonts w:ascii="Palatino Linotype" w:hAnsi="Palatino Linotype"/>
                <w:b/>
              </w:rPr>
            </w:pPr>
            <w:r>
              <w:rPr>
                <w:rFonts w:ascii="Palatino Linotype" w:hAnsi="Palatino Linotype"/>
                <w:b/>
              </w:rPr>
              <w:t>(RÚBRICA)</w:t>
            </w:r>
          </w:p>
          <w:p w:rsidR="00991F87" w:rsidRPr="006B6503" w:rsidRDefault="00991F87" w:rsidP="00A92CE7">
            <w:pPr>
              <w:jc w:val="center"/>
              <w:rPr>
                <w:rFonts w:ascii="Palatino Linotype" w:hAnsi="Palatino Linotype"/>
                <w:b/>
              </w:rPr>
            </w:pPr>
            <w:bookmarkStart w:id="0" w:name="_GoBack"/>
            <w:bookmarkEnd w:id="0"/>
          </w:p>
        </w:tc>
      </w:tr>
    </w:tbl>
    <w:p w:rsidR="001D585E" w:rsidRDefault="001D585E" w:rsidP="001D585E">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6B6503" w:rsidRDefault="006B6503" w:rsidP="001D585E">
      <w:pPr>
        <w:spacing w:before="100" w:beforeAutospacing="1" w:after="100" w:afterAutospacing="1" w:line="360" w:lineRule="auto"/>
        <w:jc w:val="both"/>
        <w:rPr>
          <w:rFonts w:ascii="Palatino Linotype" w:eastAsia="Calibri" w:hAnsi="Palatino Linotype" w:cs="Arial"/>
          <w:color w:val="000000" w:themeColor="text1"/>
          <w:sz w:val="20"/>
          <w:szCs w:val="20"/>
        </w:rPr>
      </w:pPr>
    </w:p>
    <w:p w:rsidR="00A92CE7" w:rsidRDefault="00A92CE7" w:rsidP="001D585E">
      <w:pPr>
        <w:jc w:val="both"/>
        <w:rPr>
          <w:rFonts w:ascii="Palatino Linotype" w:eastAsia="Calibri" w:hAnsi="Palatino Linotype" w:cs="Arial"/>
          <w:color w:val="000000" w:themeColor="text1"/>
          <w:sz w:val="20"/>
          <w:szCs w:val="20"/>
        </w:rPr>
      </w:pPr>
    </w:p>
    <w:p w:rsidR="00A92CE7" w:rsidRDefault="00A92CE7" w:rsidP="001D585E">
      <w:pPr>
        <w:jc w:val="both"/>
        <w:rPr>
          <w:rFonts w:ascii="Palatino Linotype" w:eastAsia="Calibri" w:hAnsi="Palatino Linotype" w:cs="Arial"/>
          <w:color w:val="000000" w:themeColor="text1"/>
          <w:sz w:val="20"/>
          <w:szCs w:val="20"/>
        </w:rPr>
      </w:pPr>
    </w:p>
    <w:p w:rsidR="00A92CE7" w:rsidRDefault="00A92CE7" w:rsidP="001D585E">
      <w:pPr>
        <w:jc w:val="both"/>
        <w:rPr>
          <w:rFonts w:ascii="Palatino Linotype" w:eastAsia="Calibri" w:hAnsi="Palatino Linotype" w:cs="Arial"/>
          <w:color w:val="000000" w:themeColor="text1"/>
          <w:sz w:val="20"/>
          <w:szCs w:val="20"/>
        </w:rPr>
      </w:pPr>
    </w:p>
    <w:p w:rsidR="001D585E" w:rsidRPr="006B6503" w:rsidRDefault="001D585E" w:rsidP="001D585E">
      <w:pPr>
        <w:jc w:val="both"/>
        <w:rPr>
          <w:rFonts w:ascii="Palatino Linotype" w:eastAsia="Calibri" w:hAnsi="Palatino Linotype" w:cs="Arial"/>
          <w:color w:val="000000" w:themeColor="text1"/>
          <w:sz w:val="20"/>
          <w:szCs w:val="20"/>
        </w:rPr>
      </w:pPr>
      <w:r w:rsidRPr="006B6503">
        <w:rPr>
          <w:rFonts w:ascii="Palatino Linotype" w:eastAsia="Calibri" w:hAnsi="Palatino Linotype" w:cs="Arial"/>
          <w:color w:val="000000" w:themeColor="text1"/>
          <w:sz w:val="20"/>
          <w:szCs w:val="20"/>
        </w:rPr>
        <w:t>Esta hoja corresponde al voto particular emitido en la resolución del recurso de revisión 0</w:t>
      </w:r>
      <w:r w:rsidR="00710470">
        <w:rPr>
          <w:rFonts w:ascii="Palatino Linotype" w:eastAsia="Calibri" w:hAnsi="Palatino Linotype" w:cs="Arial"/>
          <w:color w:val="000000" w:themeColor="text1"/>
          <w:sz w:val="20"/>
          <w:szCs w:val="20"/>
        </w:rPr>
        <w:t>4081</w:t>
      </w:r>
      <w:r w:rsidRPr="006B6503">
        <w:rPr>
          <w:rFonts w:ascii="Palatino Linotype" w:eastAsia="Calibri" w:hAnsi="Palatino Linotype" w:cs="Arial"/>
          <w:color w:val="000000" w:themeColor="text1"/>
          <w:sz w:val="20"/>
          <w:szCs w:val="20"/>
        </w:rPr>
        <w:t xml:space="preserve">/INFOEM/IP/RR/2018, aprobada el </w:t>
      </w:r>
      <w:r w:rsidR="00710470">
        <w:rPr>
          <w:rFonts w:ascii="Palatino Linotype" w:eastAsia="Calibri" w:hAnsi="Palatino Linotype" w:cs="Arial"/>
          <w:color w:val="000000" w:themeColor="text1"/>
          <w:sz w:val="20"/>
          <w:szCs w:val="20"/>
        </w:rPr>
        <w:t>dieciséis de enero de dos mil diecinueve</w:t>
      </w:r>
      <w:r w:rsidRPr="006B6503">
        <w:rPr>
          <w:rFonts w:ascii="Palatino Linotype" w:eastAsia="Calibri" w:hAnsi="Palatino Linotype" w:cs="Arial"/>
          <w:color w:val="000000" w:themeColor="text1"/>
          <w:sz w:val="20"/>
          <w:szCs w:val="20"/>
        </w:rPr>
        <w:t xml:space="preserve">. </w:t>
      </w:r>
    </w:p>
    <w:p w:rsidR="00A92CE7" w:rsidRPr="00A92CE7" w:rsidRDefault="00A92CE7" w:rsidP="006B6503">
      <w:pPr>
        <w:jc w:val="both"/>
        <w:rPr>
          <w:rFonts w:ascii="Palatino Linotype" w:eastAsia="Calibri" w:hAnsi="Palatino Linotype" w:cs="Arial"/>
          <w:color w:val="000000" w:themeColor="text1"/>
          <w:sz w:val="8"/>
          <w:szCs w:val="8"/>
        </w:rPr>
      </w:pPr>
    </w:p>
    <w:p w:rsidR="001D585E" w:rsidRPr="00A92CE7" w:rsidRDefault="00710470" w:rsidP="006B6503">
      <w:pPr>
        <w:jc w:val="both"/>
        <w:rPr>
          <w:sz w:val="28"/>
        </w:rPr>
      </w:pPr>
      <w:r w:rsidRPr="00A92CE7">
        <w:rPr>
          <w:rFonts w:ascii="Palatino Linotype" w:eastAsia="Calibri" w:hAnsi="Palatino Linotype" w:cs="Arial"/>
          <w:color w:val="000000" w:themeColor="text1"/>
          <w:sz w:val="20"/>
          <w:szCs w:val="18"/>
        </w:rPr>
        <w:t>YSM/EJCA</w:t>
      </w:r>
    </w:p>
    <w:sectPr w:rsidR="001D585E" w:rsidRPr="00A92CE7"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7E1" w:rsidRDefault="002F77E1" w:rsidP="001D585E">
      <w:r>
        <w:separator/>
      </w:r>
    </w:p>
  </w:endnote>
  <w:endnote w:type="continuationSeparator" w:id="0">
    <w:p w:rsidR="002F77E1" w:rsidRDefault="002F77E1" w:rsidP="001D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91F87" w:rsidP="00DC5C4E">
    <w:pPr>
      <w:pStyle w:val="Piedepgina"/>
      <w:tabs>
        <w:tab w:val="clear" w:pos="4252"/>
        <w:tab w:val="left" w:pos="4228"/>
      </w:tabs>
      <w:rPr>
        <w:rFonts w:ascii="Palatino Linotype" w:hAnsi="Palatino Linotype" w:cs="Arial"/>
        <w:b/>
        <w:bCs/>
        <w:sz w:val="20"/>
        <w:szCs w:val="20"/>
      </w:rPr>
    </w:pPr>
  </w:p>
  <w:p w:rsidR="006B6503" w:rsidRDefault="006B6503" w:rsidP="00DC5C4E">
    <w:pPr>
      <w:pStyle w:val="Piedepgina"/>
      <w:tabs>
        <w:tab w:val="clear" w:pos="4252"/>
        <w:tab w:val="left" w:pos="4228"/>
      </w:tabs>
      <w:rPr>
        <w:rFonts w:ascii="Palatino Linotype" w:hAnsi="Palatino Linotype" w:cs="Arial"/>
        <w:b/>
        <w:bCs/>
        <w:sz w:val="20"/>
        <w:szCs w:val="20"/>
      </w:rPr>
    </w:pPr>
  </w:p>
  <w:p w:rsidR="005C7C8F" w:rsidRDefault="00991F87" w:rsidP="00DC5C4E">
    <w:pPr>
      <w:pStyle w:val="Piedepgina"/>
      <w:tabs>
        <w:tab w:val="clear" w:pos="4252"/>
        <w:tab w:val="left" w:pos="4228"/>
      </w:tabs>
      <w:rPr>
        <w:rFonts w:ascii="Palatino Linotype" w:hAnsi="Palatino Linotype" w:cs="Arial"/>
        <w:b/>
        <w:bCs/>
        <w:sz w:val="20"/>
        <w:szCs w:val="20"/>
      </w:rPr>
    </w:pPr>
  </w:p>
  <w:p w:rsidR="005C7C8F" w:rsidRDefault="00991F87" w:rsidP="00DC5C4E">
    <w:pPr>
      <w:pStyle w:val="Piedepgina"/>
      <w:tabs>
        <w:tab w:val="clear" w:pos="4252"/>
        <w:tab w:val="left" w:pos="4228"/>
      </w:tabs>
      <w:rPr>
        <w:rFonts w:ascii="Palatino Linotype" w:hAnsi="Palatino Linotype" w:cs="Arial"/>
        <w:b/>
        <w:bCs/>
        <w:sz w:val="20"/>
        <w:szCs w:val="20"/>
      </w:rPr>
    </w:pPr>
  </w:p>
  <w:p w:rsidR="005C7C8F" w:rsidRDefault="00991F87" w:rsidP="00DC5C4E">
    <w:pPr>
      <w:pStyle w:val="Piedepgina"/>
      <w:rPr>
        <w:rFonts w:ascii="Palatino Linotype" w:hAnsi="Palatino Linotype" w:cs="Arial"/>
        <w:b/>
        <w:bCs/>
        <w:sz w:val="20"/>
        <w:szCs w:val="20"/>
      </w:rPr>
    </w:pPr>
  </w:p>
  <w:p w:rsidR="005C7C8F" w:rsidRPr="00F12350" w:rsidRDefault="002C4BB8"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91F87">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91F87">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5C7C8F" w:rsidRDefault="00991F87"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7E1" w:rsidRDefault="002F77E1" w:rsidP="001D585E">
      <w:r>
        <w:separator/>
      </w:r>
    </w:p>
  </w:footnote>
  <w:footnote w:type="continuationSeparator" w:id="0">
    <w:p w:rsidR="002F77E1" w:rsidRDefault="002F77E1" w:rsidP="001D58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91F8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829" w:rsidRDefault="002C4BB8"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6F5D6ED" wp14:editId="60432CDE">
          <wp:simplePos x="0" y="0"/>
          <wp:positionH relativeFrom="column">
            <wp:posOffset>-695435</wp:posOffset>
          </wp:positionH>
          <wp:positionV relativeFrom="paragraph">
            <wp:posOffset>-449746</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991F87" w:rsidP="00DC5C4E">
    <w:pPr>
      <w:pStyle w:val="Encabezado"/>
      <w:tabs>
        <w:tab w:val="clear" w:pos="4252"/>
        <w:tab w:val="clear" w:pos="8504"/>
        <w:tab w:val="left" w:pos="2326"/>
      </w:tabs>
      <w:jc w:val="right"/>
    </w:pPr>
  </w:p>
  <w:p w:rsidR="005C7C8F" w:rsidRDefault="002C4BB8"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2C4BB8"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E90461">
      <w:rPr>
        <w:rFonts w:ascii="Palatino Linotype" w:hAnsi="Palatino Linotype" w:cs="Arial"/>
        <w:sz w:val="20"/>
        <w:szCs w:val="20"/>
      </w:rPr>
      <w:t>4081</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p>
  <w:p w:rsidR="002E3829" w:rsidRDefault="00991F87"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83.55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991F8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36F8"/>
    <w:multiLevelType w:val="hybridMultilevel"/>
    <w:tmpl w:val="EF82DE72"/>
    <w:lvl w:ilvl="0" w:tplc="5FD6134A">
      <w:start w:val="1"/>
      <w:numFmt w:val="decimal"/>
      <w:lvlText w:val="%1."/>
      <w:lvlJc w:val="left"/>
      <w:pPr>
        <w:ind w:left="92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85E"/>
    <w:rsid w:val="000C7356"/>
    <w:rsid w:val="000D100C"/>
    <w:rsid w:val="00180596"/>
    <w:rsid w:val="001A2735"/>
    <w:rsid w:val="001D585E"/>
    <w:rsid w:val="00244A73"/>
    <w:rsid w:val="002C4BB8"/>
    <w:rsid w:val="002F77E1"/>
    <w:rsid w:val="00335106"/>
    <w:rsid w:val="003E709A"/>
    <w:rsid w:val="004C4D83"/>
    <w:rsid w:val="004D0ABD"/>
    <w:rsid w:val="006B6503"/>
    <w:rsid w:val="006D1961"/>
    <w:rsid w:val="006E3381"/>
    <w:rsid w:val="00710470"/>
    <w:rsid w:val="00766885"/>
    <w:rsid w:val="00991F87"/>
    <w:rsid w:val="00A92CE7"/>
    <w:rsid w:val="00C23B43"/>
    <w:rsid w:val="00C9714C"/>
    <w:rsid w:val="00CD0213"/>
    <w:rsid w:val="00D96DE7"/>
    <w:rsid w:val="00E90461"/>
    <w:rsid w:val="00F172E6"/>
    <w:rsid w:val="00F3091E"/>
    <w:rsid w:val="00FF3E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BCBC134-5E87-409D-99FE-01796885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8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D585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1D585E"/>
    <w:rPr>
      <w:rFonts w:eastAsiaTheme="minorEastAsia"/>
      <w:sz w:val="24"/>
      <w:szCs w:val="24"/>
      <w:lang w:val="es-ES_tradnl" w:eastAsia="es-ES"/>
    </w:rPr>
  </w:style>
  <w:style w:type="paragraph" w:styleId="Piedepgina">
    <w:name w:val="footer"/>
    <w:basedOn w:val="Normal"/>
    <w:link w:val="PiedepginaCar"/>
    <w:uiPriority w:val="99"/>
    <w:unhideWhenUsed/>
    <w:rsid w:val="001D585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1D585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7356"/>
    <w:pPr>
      <w:ind w:left="720"/>
      <w:contextualSpacing/>
    </w:pPr>
    <w:rPr>
      <w:rFonts w:ascii="Century Gothic" w:hAnsi="Century Gothic"/>
      <w:sz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C7356"/>
    <w:rPr>
      <w:rFonts w:ascii="Century Gothic" w:eastAsia="Times New Roman" w:hAnsi="Century Gothic" w:cs="Times New Roman"/>
      <w:szCs w:val="24"/>
      <w:lang w:eastAsia="es-ES"/>
    </w:rPr>
  </w:style>
  <w:style w:type="paragraph" w:styleId="Textodeglobo">
    <w:name w:val="Balloon Text"/>
    <w:basedOn w:val="Normal"/>
    <w:link w:val="TextodegloboCar"/>
    <w:uiPriority w:val="99"/>
    <w:semiHidden/>
    <w:unhideWhenUsed/>
    <w:rsid w:val="006B65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50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1365</Words>
  <Characters>7512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2018-11-06T21:07:00Z</cp:lastPrinted>
  <dcterms:created xsi:type="dcterms:W3CDTF">2019-01-21T20:01:00Z</dcterms:created>
  <dcterms:modified xsi:type="dcterms:W3CDTF">2019-02-15T21:09:00Z</dcterms:modified>
</cp:coreProperties>
</file>